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007E05">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eastAsia="en-GB"/>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eastAsia="en-GB"/>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007E05">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007E05">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7C82B269" w:rsidR="00E978D0" w:rsidRPr="00B57B36" w:rsidRDefault="00007E05" w:rsidP="00007E05">
      <w:pPr>
        <w:pStyle w:val="CETTitle"/>
      </w:pPr>
      <w:r>
        <w:t>THE EFFECT OF FERTILIZATION RATES ON THE GROWTH AND PRODUCTIVITY OF WINE GRAPE VARIETIES</w:t>
      </w:r>
    </w:p>
    <w:p w14:paraId="0488FED2" w14:textId="7507AB0F" w:rsidR="00B57E6F" w:rsidRPr="008801AA" w:rsidRDefault="00007E05" w:rsidP="00B57E6F">
      <w:pPr>
        <w:pStyle w:val="CETAuthors"/>
      </w:pPr>
      <w:r>
        <w:t>Azim Malikov</w:t>
      </w:r>
      <w:r w:rsidR="00B57E6F" w:rsidRPr="00B57B36">
        <w:rPr>
          <w:vertAlign w:val="superscript"/>
        </w:rPr>
        <w:t>a</w:t>
      </w:r>
      <w:r w:rsidR="00B57E6F" w:rsidRPr="00B57B36">
        <w:t xml:space="preserve">, </w:t>
      </w:r>
      <w:r>
        <w:t>Adiba Parmonova</w:t>
      </w:r>
      <w:r>
        <w:rPr>
          <w:vertAlign w:val="superscript"/>
        </w:rPr>
        <w:t>a</w:t>
      </w:r>
      <w:r w:rsidR="00B57E6F" w:rsidRPr="00B57B36">
        <w:t xml:space="preserve">, </w:t>
      </w:r>
      <w:r>
        <w:t>Azizbek Kamolov</w:t>
      </w:r>
      <w:r>
        <w:rPr>
          <w:vertAlign w:val="superscript"/>
        </w:rPr>
        <w:t>a</w:t>
      </w:r>
      <w:r w:rsidR="008801AA">
        <w:t>, Panjiyev Davron</w:t>
      </w:r>
      <w:r w:rsidR="008801AA">
        <w:rPr>
          <w:vertAlign w:val="superscript"/>
        </w:rPr>
        <w:t>a</w:t>
      </w:r>
    </w:p>
    <w:p w14:paraId="6B2D21B3" w14:textId="77777777" w:rsidR="00B57E6F" w:rsidRPr="00B57B36" w:rsidRDefault="00B57E6F" w:rsidP="00B57E6F">
      <w:pPr>
        <w:pStyle w:val="CETAddress"/>
      </w:pPr>
      <w:r w:rsidRPr="00B57B36">
        <w:rPr>
          <w:vertAlign w:val="superscript"/>
        </w:rPr>
        <w:t>a</w:t>
      </w:r>
      <w:r w:rsidR="00007E05" w:rsidRPr="00007E05">
        <w:t xml:space="preserve"> </w:t>
      </w:r>
      <w:r w:rsidR="00007E05">
        <w:t>Tashkent Institute of Chemical Technology, 32 Navoi Street, Tashkent 100011, Uzbekistan</w:t>
      </w:r>
      <w:r w:rsidRPr="00B57B36">
        <w:t xml:space="preserve"> </w:t>
      </w:r>
    </w:p>
    <w:p w14:paraId="73F1267A" w14:textId="3F57C973" w:rsidR="00B57E6F" w:rsidRPr="00B57B36" w:rsidRDefault="008801AA" w:rsidP="00B57E6F">
      <w:pPr>
        <w:pStyle w:val="CETemail"/>
      </w:pPr>
      <w:r>
        <w:t>corresponding auth</w:t>
      </w:r>
      <w:bookmarkStart w:id="1" w:name="_GoBack"/>
      <w:bookmarkEnd w:id="1"/>
      <w:r>
        <w:t xml:space="preserve">or: </w:t>
      </w:r>
      <w:r w:rsidRPr="008801AA">
        <w:t>parmonovaadiba00@jmail.com</w:t>
      </w:r>
      <w:r w:rsidR="00B57E6F" w:rsidRPr="00007E05">
        <w:rPr>
          <w:highlight w:val="yellow"/>
        </w:rPr>
        <w:t xml:space="preserve"> </w:t>
      </w:r>
    </w:p>
    <w:p w14:paraId="45B8D26A" w14:textId="77777777" w:rsidR="00007E05" w:rsidRDefault="00007E05" w:rsidP="00007E05">
      <w:bookmarkStart w:id="2" w:name="_Hlk495475023"/>
      <w:r>
        <w:t>Field experiments conducted in 2016–2018 were used to evaluate how five mineral-fertilizer rates affected fruit-bearing shoot development, flower and fruit-set characteristics, cluster morphology, yield, and grape-juice composition of four wine-grape cultivars: Hindogni, Muscat Hungarian, Maisky Chyorny, and Riesling. The experiment comprised four replications with five vines per replication. Across the tested cultivars, the N140P110K80 kg/ha treatment generally produced the most favorable combination of reproductive and yield-related indicators, whereas the highest rate, N160P130K100 kg/ha, frequently reduced these indicators. At N140P110K80 kg/ha, fruit-bearing shoots reached 74.9%, 76.1%, 72.5%, and 72.2% in Hindogni, Muscat Hungarian, Maisky Chyorny, and Riesling, respectively. The same treatment produced the highest cluster number per vine for each cultivar and improved cluster weight relative to the control. The results indicate that fertilizer response was cultivar-dependent and that increasing the fertilizer rate beyond the tested optimum did not provide additional biological or quality benefits. The practical contribution of the study is the comparative identification of a fertilizer rate that balanced reproductive development, yield components, and grape-juice composition under the experimental conditions.</w:t>
      </w:r>
    </w:p>
    <w:p w14:paraId="5E6CFC28" w14:textId="77777777" w:rsidR="00007E05" w:rsidRDefault="00007E05" w:rsidP="00007E05">
      <w:r>
        <w:t>Keywords: grapevine; wine grape; mineral fertilization; NPK; yield; fruit-bearing shoots; cluster composition; grape juice.</w:t>
      </w:r>
    </w:p>
    <w:bookmarkEnd w:id="2"/>
    <w:p w14:paraId="476B2F2E" w14:textId="77777777" w:rsidR="00600535" w:rsidRPr="00B57B36" w:rsidRDefault="00600535" w:rsidP="00600535">
      <w:pPr>
        <w:pStyle w:val="CETHeading1"/>
        <w:rPr>
          <w:lang w:val="en-GB"/>
        </w:rPr>
      </w:pPr>
      <w:r w:rsidRPr="00B57B36">
        <w:rPr>
          <w:lang w:val="en-GB"/>
        </w:rPr>
        <w:t>Introduction</w:t>
      </w:r>
    </w:p>
    <w:p w14:paraId="4E75C476" w14:textId="77777777" w:rsidR="00007E05" w:rsidRDefault="00007E05" w:rsidP="00007E05">
      <w:pPr>
        <w:pStyle w:val="CETBodytext"/>
      </w:pPr>
      <w:r>
        <w:t>Mineral nutrition is a major component of vineyard management because grapevine growth, reproductive development and fruit composition depend on the availability and timing of essential nutrients. Nitrogen is particularly important for vegetative growth and reproductive development, while the balance among nitrogen, phosphorus and potassium can affect yield components and grape quality. Recent field studies have shown that nitrogen fertilization can alter vine vigor, cluster weight and yield, but that increasing the rate does not necessarily produce proportional improvements in grape quality. For example, field experiments with different nitrogen rates have reported cultivar-dependent responses in yield and must composition, emphasizing the need to define nutrient rates for particular production conditions (Palliotti et al., 2021; Gutiérrez-Gamboa et al., 2021).</w:t>
      </w:r>
    </w:p>
    <w:p w14:paraId="16FEC254" w14:textId="77777777" w:rsidR="00007E05" w:rsidRDefault="00007E05" w:rsidP="00007E05">
      <w:pPr>
        <w:pStyle w:val="CETBodytext"/>
      </w:pPr>
      <w:r>
        <w:t>Recent work also demonstrates that nutrient management should be considered together with vineyard conditions and cultivar characteristics. Nitrogen status can influence berry composition and must quality, while excessive or poorly targeted fertilization may reduce nutrient-use efficiency and create undesirable changes in the balance of grape constituents (Palliotti et al., 2021; Raffa et al., 2022). Statistical approaches to vine nutrition likewise show that fertilization systems can affect nutritional status, physiological indicators, yield and grape sugar and acidity, with the response depending on the set of nutrients and the production system (Sala et al., 2024).</w:t>
      </w:r>
    </w:p>
    <w:p w14:paraId="4671D3BA" w14:textId="77777777" w:rsidR="00007E05" w:rsidRDefault="00007E05" w:rsidP="00007E05">
      <w:pPr>
        <w:pStyle w:val="CETBodytext"/>
      </w:pPr>
      <w:r>
        <w:t xml:space="preserve">An earlier publication by Malikov, Abdullayeva and Parmonova reported results concerning fertilization quantities and wine-grape development (Malikov et al., 2021). The present manuscript is therefore explicitly positioned as a broader comparative analysis of four cultivars and multiple response groups, including fruit-bearing shoots, flower and fruit-drop characteristics, cluster mechanical composition, yield components, sugar content and acidity. The purpose is not to present the earlier work as new, but to organize the multi-year </w:t>
      </w:r>
      <w:r>
        <w:lastRenderedPageBreak/>
        <w:t>experimental dataset into a cultivar-comparative evaluation and to interpret the fertilizer response in relation to current literature.</w:t>
      </w:r>
    </w:p>
    <w:p w14:paraId="17D45DCA" w14:textId="77777777" w:rsidR="00007E05" w:rsidRDefault="00007E05" w:rsidP="00007E05">
      <w:pPr>
        <w:pStyle w:val="CETBodytext"/>
      </w:pPr>
      <w:r>
        <w:t>The research gap addressed here is the lack of a single comparative assessment of these four wine-grape cultivars under the same five NPK treatment levels using reproductive, mechanical and chemical indicators together. The objective was to determine the fertilizer rate associated with the most favorable combination of these indicators and to assess whether increasing the NPK rate beyond that level produced additional benefits.</w:t>
      </w:r>
    </w:p>
    <w:p w14:paraId="23F86FEF" w14:textId="1FF03464" w:rsidR="00600535" w:rsidRDefault="000052FB" w:rsidP="00600535">
      <w:pPr>
        <w:pStyle w:val="CETBodytext"/>
        <w:rPr>
          <w:lang w:val="en-GB"/>
        </w:rPr>
      </w:pPr>
      <w:r w:rsidRPr="00FA5F5F">
        <w:rPr>
          <w:lang w:val="en-GB"/>
        </w:rPr>
        <w:t>Instructions</w:t>
      </w:r>
      <w:r w:rsidR="00600535" w:rsidRPr="00FA5F5F">
        <w:rPr>
          <w:lang w:val="en-GB"/>
        </w:rPr>
        <w:t xml:space="preserve">: </w:t>
      </w:r>
    </w:p>
    <w:p w14:paraId="5741900F" w14:textId="3E599932" w:rsidR="00453E24" w:rsidRDefault="00007E05" w:rsidP="00453E24">
      <w:pPr>
        <w:pStyle w:val="CETHeading1"/>
      </w:pPr>
      <w:r>
        <w:t>Materials and methods</w:t>
      </w:r>
    </w:p>
    <w:p w14:paraId="0636B784" w14:textId="0BBC659A" w:rsidR="00453E24" w:rsidRDefault="00007E05" w:rsidP="00453E24">
      <w:pPr>
        <w:pStyle w:val="CETheadingx"/>
      </w:pPr>
      <w:r>
        <w:t>Experimantal site and plant material</w:t>
      </w:r>
    </w:p>
    <w:p w14:paraId="720277CC" w14:textId="77777777" w:rsidR="00007E05" w:rsidRDefault="00007E05" w:rsidP="00007E05">
      <w:pPr>
        <w:pStyle w:val="CETBodytext"/>
      </w:pPr>
      <w:r>
        <w:t>The research was conducted in the experimental fields of the “Sharob” Scientific Experimental Enterprise in Qibray district, Uzbekistan. The experiment used 20-year-old vines of four wine-grape cultivars: Hindogni, Muscat Hungarian, Maisky Chyorny and Riesling. The observations covered 2016–2018.</w:t>
      </w:r>
    </w:p>
    <w:p w14:paraId="18BAFA6F" w14:textId="776E59B2" w:rsidR="00453E24" w:rsidRPr="00B57B36" w:rsidRDefault="00007E05" w:rsidP="00453E24">
      <w:pPr>
        <w:pStyle w:val="CETheadingx"/>
      </w:pPr>
      <w:r>
        <w:t>Experimental design and fertilization treatments</w:t>
      </w:r>
    </w:p>
    <w:p w14:paraId="12EFF7B5" w14:textId="1120980D" w:rsidR="00007E05" w:rsidRDefault="00007E05" w:rsidP="00007E05">
      <w:pPr>
        <w:pStyle w:val="CETBodytext"/>
      </w:pPr>
      <w:r>
        <w:t>The experiment included four replications, with five vines selected for each replication. Mineral fertilizers containing nitrogen, phosphorus and potassium were applied at five rates expressed as kg/ha of pure nutrients: N80P50K30, N100P70K40, N120P90K60, N140P110K80 and N160P130K100. The N120P90K60 treatment was designated as the control in the original experimental tables. The experimental arrangement and statistical processing followed generally accepted field-experiment principles described by Dospekhov (1986).</w:t>
      </w:r>
    </w:p>
    <w:p w14:paraId="2A75F401" w14:textId="038E4582" w:rsidR="00007E05" w:rsidRDefault="00007E05" w:rsidP="00007E05">
      <w:pPr>
        <w:pStyle w:val="CETheadingx"/>
      </w:pPr>
      <w:r>
        <w:t>Recorded response variables</w:t>
      </w:r>
    </w:p>
    <w:p w14:paraId="69301660" w14:textId="77777777" w:rsidR="00007E05" w:rsidRDefault="00007E05" w:rsidP="00007E05">
      <w:pPr>
        <w:pStyle w:val="CETBodytext"/>
      </w:pPr>
      <w:r>
        <w:t>The study evaluated fruit-bearing shoot development using the proportions of single-, double- and triple-fruit shoots and the total proportion of fruit-bearing shoots. The number of grape clusters per fruit-bearing shoot was also recorded. Reproductive performance was assessed using total flowers, dropped buds, fruit drop and mature-cluster proportion. Cluster characteristics included cluster weight, cluster dimensions and the percentage composition of flesh and juice, pulp, skin and seeds.</w:t>
      </w:r>
    </w:p>
    <w:p w14:paraId="62B60ABB" w14:textId="74D5F89B" w:rsidR="00007E05" w:rsidRPr="00007E05" w:rsidRDefault="00007E05" w:rsidP="00007E05">
      <w:pPr>
        <w:pStyle w:val="CETheadingx"/>
        <w:rPr>
          <w:rStyle w:val="CETBodytextCarattere"/>
        </w:rPr>
      </w:pPr>
      <w:r w:rsidRPr="00007E05">
        <w:t>Yield and grape-juice characteristics</w:t>
      </w:r>
    </w:p>
    <w:p w14:paraId="74D743A1" w14:textId="3C389B99" w:rsidR="00007E05" w:rsidRDefault="00007E05" w:rsidP="00007E05">
      <w:pPr>
        <w:pStyle w:val="ListParagraph"/>
        <w:ind w:left="0"/>
      </w:pPr>
      <w:r w:rsidRPr="00007E05">
        <w:rPr>
          <w:rStyle w:val="CETBodytextCarattere"/>
        </w:rPr>
        <w:t>The number of clusters per vine and yield per vine were recorded. Grape-juice sugar content (%) and acidity (g/L) were also determined for each fertilizer treatment and cultivar. These variables were used to compare the productive and compositional response of the four cultivars.</w:t>
      </w:r>
    </w:p>
    <w:p w14:paraId="07223CD6" w14:textId="3FBA5527" w:rsidR="00B63232" w:rsidRDefault="00007E05" w:rsidP="00B63232">
      <w:pPr>
        <w:pStyle w:val="CETheadingx"/>
      </w:pPr>
      <w:r>
        <w:t xml:space="preserve">Statistical analysis. </w:t>
      </w:r>
    </w:p>
    <w:p w14:paraId="014A60C4" w14:textId="77976C4A" w:rsidR="00007E05" w:rsidRDefault="00007E05" w:rsidP="00B63232">
      <w:pPr>
        <w:pStyle w:val="CETBodytext"/>
      </w:pPr>
      <w:r>
        <w:t>Statistical processing was performed according to Dospekhov (1986). The original dataset reports LSD05 and coefficient of variation (CV%) values for the principal tables. These statistics were retained in the revised tables rather than introducing additional statistical tests that were not part of the original experiment.</w:t>
      </w:r>
    </w:p>
    <w:p w14:paraId="677EBFF0" w14:textId="6BCFEE6F" w:rsidR="00600535" w:rsidRPr="00B57B36" w:rsidRDefault="00B63232" w:rsidP="00600535">
      <w:pPr>
        <w:pStyle w:val="CETHeading1"/>
        <w:tabs>
          <w:tab w:val="clear" w:pos="360"/>
          <w:tab w:val="right" w:pos="7100"/>
        </w:tabs>
        <w:jc w:val="both"/>
        <w:rPr>
          <w:lang w:val="en-GB"/>
        </w:rPr>
      </w:pPr>
      <w:r>
        <w:rPr>
          <w:lang w:val="en-GB"/>
        </w:rPr>
        <w:t>Result</w:t>
      </w:r>
      <w:r w:rsidR="00600535" w:rsidRPr="00B57B36">
        <w:rPr>
          <w:lang w:val="en-GB"/>
        </w:rPr>
        <w:t>s</w:t>
      </w:r>
    </w:p>
    <w:p w14:paraId="04963A06" w14:textId="7A847A19" w:rsidR="00600535" w:rsidRPr="00B57B36" w:rsidRDefault="00B63232" w:rsidP="00FA5F5F">
      <w:pPr>
        <w:pStyle w:val="CETheadingx"/>
      </w:pPr>
      <w:r>
        <w:t xml:space="preserve">Fruit bearing shoot development </w:t>
      </w:r>
    </w:p>
    <w:p w14:paraId="4AC5904E" w14:textId="703A36C3" w:rsidR="00B63232" w:rsidRDefault="00B63232" w:rsidP="00B63232">
      <w:pPr>
        <w:pStyle w:val="CETBodytext"/>
      </w:pPr>
      <w:r>
        <w:t>Across all four cultivars, N140P110K80 kg/ha produced the highest total proportion of fruit-bearing shoots. In Hindogni, single-, double- and triple-fruit shoots were 45.3%, 26.4% and 3.2%, respectively, giving 74.9% total fruit-bearing shoots. In Muscat Hungarian, the corresponding total was 76.1%; in Maisky Chyorny, 72.5%; and in Riesling, 72.2%. The highest fertilizer rate did not improve these indicators: total fruit-bearing shoots fell to 69.0%, 66.4%, 64.7% and 66.2%, respectively, at N160P130K100 kg/ha.</w:t>
      </w:r>
    </w:p>
    <w:p w14:paraId="6D502C28" w14:textId="77777777" w:rsidR="00B63232" w:rsidRDefault="00B63232" w:rsidP="00B63232">
      <w:pPr>
        <w:pStyle w:val="CETTabletitle"/>
      </w:pPr>
      <w:r w:rsidRPr="00B57B36">
        <w:t xml:space="preserve">Table 1: </w:t>
      </w:r>
      <w:r>
        <w:t>Total fruit-bearing shoots (%) under the five fertilizer rates, summarized from the original cultivar-specific dataset.</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2430"/>
        <w:gridCol w:w="1260"/>
        <w:gridCol w:w="1530"/>
        <w:gridCol w:w="1440"/>
        <w:gridCol w:w="1080"/>
      </w:tblGrid>
      <w:tr w:rsidR="00B63232" w:rsidRPr="00B57B36" w14:paraId="5D2A15FF" w14:textId="77777777" w:rsidTr="00B63232">
        <w:tc>
          <w:tcPr>
            <w:tcW w:w="2430" w:type="dxa"/>
            <w:tcBorders>
              <w:top w:val="single" w:sz="12" w:space="0" w:color="008000"/>
              <w:bottom w:val="single" w:sz="6" w:space="0" w:color="008000"/>
            </w:tcBorders>
            <w:shd w:val="clear" w:color="auto" w:fill="FFFFFF"/>
          </w:tcPr>
          <w:p w14:paraId="55AB2D2B" w14:textId="7EF7433F" w:rsidR="00B63232" w:rsidRPr="00B57B36" w:rsidRDefault="00B63232" w:rsidP="00B63232">
            <w:pPr>
              <w:pStyle w:val="CETBodytext"/>
              <w:rPr>
                <w:lang w:val="en-GB"/>
              </w:rPr>
            </w:pPr>
            <w:r>
              <w:rPr>
                <w:b/>
                <w:sz w:val="16"/>
              </w:rPr>
              <w:t>Fertilizer rate (kg/ha)</w:t>
            </w:r>
            <w:r w:rsidRPr="00B57B36">
              <w:rPr>
                <w:lang w:val="en-GB"/>
              </w:rPr>
              <w:t xml:space="preserve"> </w:t>
            </w:r>
          </w:p>
        </w:tc>
        <w:tc>
          <w:tcPr>
            <w:tcW w:w="1260" w:type="dxa"/>
            <w:tcBorders>
              <w:top w:val="single" w:sz="12" w:space="0" w:color="008000"/>
              <w:bottom w:val="single" w:sz="6" w:space="0" w:color="008000"/>
            </w:tcBorders>
            <w:shd w:val="clear" w:color="auto" w:fill="FFFFFF"/>
          </w:tcPr>
          <w:p w14:paraId="22F0B47F" w14:textId="3DE7AA26" w:rsidR="00B63232" w:rsidRPr="00B57B36" w:rsidRDefault="00B63232" w:rsidP="00B63232">
            <w:pPr>
              <w:pStyle w:val="CETBodytext"/>
              <w:rPr>
                <w:lang w:val="en-GB"/>
              </w:rPr>
            </w:pPr>
            <w:r>
              <w:rPr>
                <w:b/>
                <w:sz w:val="16"/>
              </w:rPr>
              <w:t>Hindogni</w:t>
            </w:r>
          </w:p>
        </w:tc>
        <w:tc>
          <w:tcPr>
            <w:tcW w:w="1530" w:type="dxa"/>
            <w:tcBorders>
              <w:top w:val="single" w:sz="12" w:space="0" w:color="008000"/>
              <w:bottom w:val="single" w:sz="6" w:space="0" w:color="008000"/>
            </w:tcBorders>
            <w:shd w:val="clear" w:color="auto" w:fill="FFFFFF"/>
          </w:tcPr>
          <w:p w14:paraId="074938DE" w14:textId="1BE05215" w:rsidR="00B63232" w:rsidRPr="00B57B36" w:rsidRDefault="00B63232" w:rsidP="00B63232">
            <w:pPr>
              <w:pStyle w:val="CETBodytext"/>
              <w:rPr>
                <w:lang w:val="en-GB"/>
              </w:rPr>
            </w:pPr>
            <w:r>
              <w:rPr>
                <w:b/>
                <w:sz w:val="16"/>
              </w:rPr>
              <w:t>Muscat Hungarian</w:t>
            </w:r>
          </w:p>
        </w:tc>
        <w:tc>
          <w:tcPr>
            <w:tcW w:w="1440" w:type="dxa"/>
            <w:tcBorders>
              <w:top w:val="single" w:sz="12" w:space="0" w:color="008000"/>
              <w:bottom w:val="single" w:sz="6" w:space="0" w:color="008000"/>
            </w:tcBorders>
            <w:shd w:val="clear" w:color="auto" w:fill="FFFFFF"/>
          </w:tcPr>
          <w:p w14:paraId="1F175020" w14:textId="07B9A176" w:rsidR="00B63232" w:rsidRPr="00B57B36" w:rsidRDefault="00B63232" w:rsidP="00B63232">
            <w:pPr>
              <w:pStyle w:val="CETBodytext"/>
              <w:ind w:right="-1"/>
              <w:rPr>
                <w:rFonts w:cs="Arial"/>
                <w:szCs w:val="18"/>
                <w:lang w:val="en-GB"/>
              </w:rPr>
            </w:pPr>
            <w:r>
              <w:rPr>
                <w:b/>
                <w:sz w:val="16"/>
              </w:rPr>
              <w:t>Maisky Chyorny</w:t>
            </w:r>
          </w:p>
        </w:tc>
        <w:tc>
          <w:tcPr>
            <w:tcW w:w="1080" w:type="dxa"/>
            <w:tcBorders>
              <w:top w:val="single" w:sz="12" w:space="0" w:color="008000"/>
              <w:bottom w:val="single" w:sz="6" w:space="0" w:color="008000"/>
            </w:tcBorders>
            <w:shd w:val="clear" w:color="auto" w:fill="FFFFFF"/>
          </w:tcPr>
          <w:p w14:paraId="5C69AD4C" w14:textId="7773D753" w:rsidR="00B63232" w:rsidRPr="00B57B36" w:rsidRDefault="00B63232" w:rsidP="00B63232">
            <w:pPr>
              <w:pStyle w:val="CETBodytext"/>
              <w:ind w:right="-1"/>
              <w:rPr>
                <w:rFonts w:cs="Arial"/>
                <w:szCs w:val="18"/>
                <w:lang w:val="en-GB"/>
              </w:rPr>
            </w:pPr>
            <w:r>
              <w:rPr>
                <w:b/>
                <w:sz w:val="16"/>
              </w:rPr>
              <w:t>Riesling</w:t>
            </w:r>
          </w:p>
        </w:tc>
      </w:tr>
      <w:tr w:rsidR="00B63232" w:rsidRPr="00B57B36" w14:paraId="3EFBFC55" w14:textId="77777777" w:rsidTr="00B63232">
        <w:tc>
          <w:tcPr>
            <w:tcW w:w="2430" w:type="dxa"/>
            <w:shd w:val="clear" w:color="auto" w:fill="FFFFFF"/>
          </w:tcPr>
          <w:p w14:paraId="329ACC3A" w14:textId="0F05D7B3" w:rsidR="00B63232" w:rsidRPr="00B57B36" w:rsidRDefault="00B63232" w:rsidP="00B63232">
            <w:pPr>
              <w:pStyle w:val="CETBodytext"/>
              <w:rPr>
                <w:lang w:val="en-GB"/>
              </w:rPr>
            </w:pPr>
            <w:r>
              <w:rPr>
                <w:sz w:val="16"/>
              </w:rPr>
              <w:t>N80P50K30</w:t>
            </w:r>
          </w:p>
        </w:tc>
        <w:tc>
          <w:tcPr>
            <w:tcW w:w="1260" w:type="dxa"/>
            <w:shd w:val="clear" w:color="auto" w:fill="FFFFFF"/>
          </w:tcPr>
          <w:p w14:paraId="779998D2" w14:textId="6E30B20F" w:rsidR="00B63232" w:rsidRPr="00B57B36" w:rsidRDefault="00B63232" w:rsidP="00B63232">
            <w:pPr>
              <w:pStyle w:val="CETBodytext"/>
              <w:rPr>
                <w:lang w:val="en-GB"/>
              </w:rPr>
            </w:pPr>
            <w:r>
              <w:rPr>
                <w:sz w:val="16"/>
              </w:rPr>
              <w:t>62.3</w:t>
            </w:r>
          </w:p>
        </w:tc>
        <w:tc>
          <w:tcPr>
            <w:tcW w:w="1530" w:type="dxa"/>
            <w:shd w:val="clear" w:color="auto" w:fill="FFFFFF"/>
          </w:tcPr>
          <w:p w14:paraId="5A88A2A1" w14:textId="5D2BE6F4" w:rsidR="00B63232" w:rsidRPr="00B57B36" w:rsidRDefault="00B63232" w:rsidP="00B63232">
            <w:pPr>
              <w:pStyle w:val="CETBodytext"/>
              <w:rPr>
                <w:lang w:val="en-GB"/>
              </w:rPr>
            </w:pPr>
            <w:r>
              <w:rPr>
                <w:sz w:val="16"/>
              </w:rPr>
              <w:t>64.7</w:t>
            </w:r>
          </w:p>
        </w:tc>
        <w:tc>
          <w:tcPr>
            <w:tcW w:w="1440" w:type="dxa"/>
            <w:shd w:val="clear" w:color="auto" w:fill="FFFFFF"/>
          </w:tcPr>
          <w:p w14:paraId="46D3DB85" w14:textId="78480211" w:rsidR="00B63232" w:rsidRPr="00B57B36" w:rsidRDefault="00B63232" w:rsidP="00B63232">
            <w:pPr>
              <w:pStyle w:val="CETBodytext"/>
              <w:ind w:right="-1"/>
              <w:rPr>
                <w:rFonts w:cs="Arial"/>
                <w:szCs w:val="18"/>
                <w:lang w:val="en-GB"/>
              </w:rPr>
            </w:pPr>
            <w:r>
              <w:rPr>
                <w:sz w:val="16"/>
              </w:rPr>
              <w:t>65.4</w:t>
            </w:r>
          </w:p>
        </w:tc>
        <w:tc>
          <w:tcPr>
            <w:tcW w:w="1080" w:type="dxa"/>
            <w:shd w:val="clear" w:color="auto" w:fill="FFFFFF"/>
          </w:tcPr>
          <w:p w14:paraId="48995FC6" w14:textId="7D8447CC" w:rsidR="00B63232" w:rsidRPr="00B57B36" w:rsidRDefault="00B63232" w:rsidP="00B63232">
            <w:pPr>
              <w:pStyle w:val="CETBodytext"/>
              <w:ind w:right="-1"/>
              <w:rPr>
                <w:rFonts w:cs="Arial"/>
                <w:szCs w:val="18"/>
                <w:lang w:val="en-GB"/>
              </w:rPr>
            </w:pPr>
            <w:r>
              <w:rPr>
                <w:sz w:val="16"/>
              </w:rPr>
              <w:t>65.0</w:t>
            </w:r>
          </w:p>
        </w:tc>
      </w:tr>
      <w:tr w:rsidR="00B63232" w:rsidRPr="00B57B36" w14:paraId="547459D8" w14:textId="77777777" w:rsidTr="00B63232">
        <w:tc>
          <w:tcPr>
            <w:tcW w:w="2430" w:type="dxa"/>
            <w:shd w:val="clear" w:color="auto" w:fill="FFFFFF"/>
          </w:tcPr>
          <w:p w14:paraId="640C14B4" w14:textId="56C3669A" w:rsidR="00B63232" w:rsidRPr="00B57B36" w:rsidRDefault="00B63232" w:rsidP="00B63232">
            <w:pPr>
              <w:pStyle w:val="CETBodytext"/>
              <w:ind w:right="-1"/>
              <w:rPr>
                <w:rFonts w:cs="Arial"/>
                <w:szCs w:val="18"/>
                <w:lang w:val="en-GB"/>
              </w:rPr>
            </w:pPr>
            <w:r>
              <w:rPr>
                <w:sz w:val="16"/>
              </w:rPr>
              <w:t>N100P70K40</w:t>
            </w:r>
          </w:p>
        </w:tc>
        <w:tc>
          <w:tcPr>
            <w:tcW w:w="1260" w:type="dxa"/>
            <w:shd w:val="clear" w:color="auto" w:fill="FFFFFF"/>
          </w:tcPr>
          <w:p w14:paraId="3E8336B3" w14:textId="214407C6" w:rsidR="00B63232" w:rsidRPr="00B57B36" w:rsidRDefault="00B63232" w:rsidP="00B63232">
            <w:pPr>
              <w:pStyle w:val="CETBodytext"/>
              <w:ind w:right="-1"/>
              <w:rPr>
                <w:rFonts w:cs="Arial"/>
                <w:szCs w:val="18"/>
                <w:lang w:val="en-GB"/>
              </w:rPr>
            </w:pPr>
            <w:r>
              <w:rPr>
                <w:sz w:val="16"/>
              </w:rPr>
              <w:t>71.3</w:t>
            </w:r>
          </w:p>
        </w:tc>
        <w:tc>
          <w:tcPr>
            <w:tcW w:w="1530" w:type="dxa"/>
            <w:shd w:val="clear" w:color="auto" w:fill="FFFFFF"/>
          </w:tcPr>
          <w:p w14:paraId="4AD64DCA" w14:textId="49EB0B00" w:rsidR="00B63232" w:rsidRPr="00B57B36" w:rsidRDefault="00B63232" w:rsidP="00B63232">
            <w:pPr>
              <w:pStyle w:val="CETBodytext"/>
              <w:ind w:right="-1"/>
              <w:rPr>
                <w:rFonts w:cs="Arial"/>
                <w:szCs w:val="18"/>
                <w:lang w:val="en-GB"/>
              </w:rPr>
            </w:pPr>
            <w:r>
              <w:rPr>
                <w:sz w:val="16"/>
              </w:rPr>
              <w:t>68.6</w:t>
            </w:r>
          </w:p>
        </w:tc>
        <w:tc>
          <w:tcPr>
            <w:tcW w:w="1440" w:type="dxa"/>
            <w:shd w:val="clear" w:color="auto" w:fill="FFFFFF"/>
          </w:tcPr>
          <w:p w14:paraId="1A731347" w14:textId="5911D132" w:rsidR="00B63232" w:rsidRPr="00B57B36" w:rsidRDefault="00B63232" w:rsidP="00B63232">
            <w:pPr>
              <w:pStyle w:val="CETBodytext"/>
              <w:ind w:right="-1"/>
              <w:rPr>
                <w:rFonts w:cs="Arial"/>
                <w:szCs w:val="18"/>
                <w:lang w:val="en-GB"/>
              </w:rPr>
            </w:pPr>
            <w:r>
              <w:rPr>
                <w:sz w:val="16"/>
              </w:rPr>
              <w:t>68.1</w:t>
            </w:r>
          </w:p>
        </w:tc>
        <w:tc>
          <w:tcPr>
            <w:tcW w:w="1080" w:type="dxa"/>
            <w:shd w:val="clear" w:color="auto" w:fill="FFFFFF"/>
          </w:tcPr>
          <w:p w14:paraId="4BB75CEA" w14:textId="1B934EF9" w:rsidR="00B63232" w:rsidRPr="00B57B36" w:rsidRDefault="00B63232" w:rsidP="00B63232">
            <w:pPr>
              <w:pStyle w:val="CETBodytext"/>
              <w:ind w:right="-1"/>
              <w:rPr>
                <w:rFonts w:cs="Arial"/>
                <w:szCs w:val="18"/>
                <w:lang w:val="en-GB"/>
              </w:rPr>
            </w:pPr>
            <w:r>
              <w:rPr>
                <w:sz w:val="16"/>
              </w:rPr>
              <w:t>66.6</w:t>
            </w:r>
          </w:p>
        </w:tc>
      </w:tr>
      <w:tr w:rsidR="00B63232" w:rsidRPr="00B57B36" w14:paraId="4D306491" w14:textId="77777777" w:rsidTr="00B63232">
        <w:tc>
          <w:tcPr>
            <w:tcW w:w="2430" w:type="dxa"/>
            <w:shd w:val="clear" w:color="auto" w:fill="FFFFFF"/>
          </w:tcPr>
          <w:p w14:paraId="1BCF443E" w14:textId="7D4957D5" w:rsidR="00B63232" w:rsidRPr="00B57B36" w:rsidRDefault="00B63232" w:rsidP="00B63232">
            <w:pPr>
              <w:pStyle w:val="CETBodytext"/>
              <w:ind w:right="-1"/>
              <w:rPr>
                <w:rFonts w:cs="Arial"/>
                <w:szCs w:val="18"/>
                <w:lang w:val="en-GB"/>
              </w:rPr>
            </w:pPr>
            <w:r>
              <w:rPr>
                <w:sz w:val="16"/>
              </w:rPr>
              <w:t>N120P90K60 (control)</w:t>
            </w:r>
          </w:p>
        </w:tc>
        <w:tc>
          <w:tcPr>
            <w:tcW w:w="1260" w:type="dxa"/>
            <w:shd w:val="clear" w:color="auto" w:fill="FFFFFF"/>
          </w:tcPr>
          <w:p w14:paraId="7979BD29" w14:textId="01BB7B1F" w:rsidR="00B63232" w:rsidRPr="00B57B36" w:rsidRDefault="00B63232" w:rsidP="00B63232">
            <w:pPr>
              <w:pStyle w:val="CETBodytext"/>
              <w:ind w:right="-1"/>
              <w:rPr>
                <w:rFonts w:cs="Arial"/>
                <w:szCs w:val="18"/>
                <w:lang w:val="en-GB"/>
              </w:rPr>
            </w:pPr>
            <w:r>
              <w:rPr>
                <w:sz w:val="16"/>
              </w:rPr>
              <w:t>70.3</w:t>
            </w:r>
          </w:p>
        </w:tc>
        <w:tc>
          <w:tcPr>
            <w:tcW w:w="1530" w:type="dxa"/>
            <w:shd w:val="clear" w:color="auto" w:fill="FFFFFF"/>
          </w:tcPr>
          <w:p w14:paraId="4E5AC867" w14:textId="106F07BE" w:rsidR="00B63232" w:rsidRPr="00B57B36" w:rsidRDefault="00B63232" w:rsidP="00B63232">
            <w:pPr>
              <w:pStyle w:val="CETBodytext"/>
              <w:ind w:right="-1"/>
              <w:rPr>
                <w:rFonts w:cs="Arial"/>
                <w:szCs w:val="18"/>
                <w:lang w:val="en-GB"/>
              </w:rPr>
            </w:pPr>
            <w:r>
              <w:rPr>
                <w:sz w:val="16"/>
              </w:rPr>
              <w:t>69.7</w:t>
            </w:r>
          </w:p>
        </w:tc>
        <w:tc>
          <w:tcPr>
            <w:tcW w:w="1440" w:type="dxa"/>
            <w:shd w:val="clear" w:color="auto" w:fill="FFFFFF"/>
          </w:tcPr>
          <w:p w14:paraId="0BC6F0A9" w14:textId="0E88AF56" w:rsidR="00B63232" w:rsidRPr="00B57B36" w:rsidRDefault="00B63232" w:rsidP="00B63232">
            <w:pPr>
              <w:pStyle w:val="CETBodytext"/>
              <w:ind w:right="-1"/>
              <w:rPr>
                <w:rFonts w:cs="Arial"/>
                <w:szCs w:val="18"/>
                <w:lang w:val="en-GB"/>
              </w:rPr>
            </w:pPr>
            <w:r>
              <w:rPr>
                <w:sz w:val="16"/>
              </w:rPr>
              <w:t>69.3</w:t>
            </w:r>
          </w:p>
        </w:tc>
        <w:tc>
          <w:tcPr>
            <w:tcW w:w="1080" w:type="dxa"/>
            <w:shd w:val="clear" w:color="auto" w:fill="FFFFFF"/>
          </w:tcPr>
          <w:p w14:paraId="6A0B43AE" w14:textId="2CBB4046" w:rsidR="00B63232" w:rsidRPr="00B57B36" w:rsidRDefault="00B63232" w:rsidP="00B63232">
            <w:pPr>
              <w:pStyle w:val="CETBodytext"/>
              <w:ind w:right="-1"/>
              <w:rPr>
                <w:rFonts w:cs="Arial"/>
                <w:szCs w:val="18"/>
                <w:lang w:val="en-GB"/>
              </w:rPr>
            </w:pPr>
            <w:r>
              <w:rPr>
                <w:sz w:val="16"/>
              </w:rPr>
              <w:t>67.7</w:t>
            </w:r>
          </w:p>
        </w:tc>
      </w:tr>
      <w:tr w:rsidR="00B63232" w:rsidRPr="00B57B36" w14:paraId="153195D1" w14:textId="77777777" w:rsidTr="00B63232">
        <w:tc>
          <w:tcPr>
            <w:tcW w:w="2430" w:type="dxa"/>
            <w:shd w:val="clear" w:color="auto" w:fill="FFFFFF"/>
          </w:tcPr>
          <w:p w14:paraId="4CC3008D" w14:textId="269D8297" w:rsidR="00B63232" w:rsidRPr="00B57B36" w:rsidRDefault="00B63232" w:rsidP="00B63232">
            <w:pPr>
              <w:pStyle w:val="CETBodytext"/>
              <w:ind w:right="-1"/>
              <w:rPr>
                <w:rFonts w:cs="Arial"/>
                <w:szCs w:val="18"/>
                <w:lang w:val="en-GB"/>
              </w:rPr>
            </w:pPr>
            <w:r>
              <w:rPr>
                <w:sz w:val="16"/>
              </w:rPr>
              <w:t>N140P110K80</w:t>
            </w:r>
          </w:p>
        </w:tc>
        <w:tc>
          <w:tcPr>
            <w:tcW w:w="1260" w:type="dxa"/>
            <w:shd w:val="clear" w:color="auto" w:fill="FFFFFF"/>
          </w:tcPr>
          <w:p w14:paraId="6FF8EE19" w14:textId="03A7A770" w:rsidR="00B63232" w:rsidRPr="00B57B36" w:rsidRDefault="00B63232" w:rsidP="00B63232">
            <w:pPr>
              <w:pStyle w:val="CETBodytext"/>
              <w:ind w:right="-1"/>
              <w:rPr>
                <w:rFonts w:cs="Arial"/>
                <w:szCs w:val="18"/>
                <w:lang w:val="en-GB"/>
              </w:rPr>
            </w:pPr>
            <w:r>
              <w:rPr>
                <w:sz w:val="16"/>
              </w:rPr>
              <w:t>74.9</w:t>
            </w:r>
          </w:p>
        </w:tc>
        <w:tc>
          <w:tcPr>
            <w:tcW w:w="1530" w:type="dxa"/>
            <w:shd w:val="clear" w:color="auto" w:fill="FFFFFF"/>
          </w:tcPr>
          <w:p w14:paraId="3BD31CDC" w14:textId="51CF193A" w:rsidR="00B63232" w:rsidRPr="00B57B36" w:rsidRDefault="00B63232" w:rsidP="00B63232">
            <w:pPr>
              <w:pStyle w:val="CETBodytext"/>
              <w:ind w:right="-1"/>
              <w:rPr>
                <w:rFonts w:cs="Arial"/>
                <w:szCs w:val="18"/>
                <w:lang w:val="en-GB"/>
              </w:rPr>
            </w:pPr>
            <w:r>
              <w:rPr>
                <w:sz w:val="16"/>
              </w:rPr>
              <w:t>76.1</w:t>
            </w:r>
          </w:p>
        </w:tc>
        <w:tc>
          <w:tcPr>
            <w:tcW w:w="1440" w:type="dxa"/>
            <w:shd w:val="clear" w:color="auto" w:fill="FFFFFF"/>
          </w:tcPr>
          <w:p w14:paraId="2D06ED6E" w14:textId="11079FFD" w:rsidR="00B63232" w:rsidRPr="00B57B36" w:rsidRDefault="00B63232" w:rsidP="00B63232">
            <w:pPr>
              <w:pStyle w:val="CETBodytext"/>
              <w:ind w:right="-1"/>
              <w:rPr>
                <w:rFonts w:cs="Arial"/>
                <w:szCs w:val="18"/>
                <w:lang w:val="en-GB"/>
              </w:rPr>
            </w:pPr>
            <w:r>
              <w:rPr>
                <w:sz w:val="16"/>
              </w:rPr>
              <w:t>72.5</w:t>
            </w:r>
          </w:p>
        </w:tc>
        <w:tc>
          <w:tcPr>
            <w:tcW w:w="1080" w:type="dxa"/>
            <w:shd w:val="clear" w:color="auto" w:fill="FFFFFF"/>
          </w:tcPr>
          <w:p w14:paraId="7DCF4FB4" w14:textId="6C915F2F" w:rsidR="00B63232" w:rsidRPr="00B57B36" w:rsidRDefault="00B63232" w:rsidP="00B63232">
            <w:pPr>
              <w:pStyle w:val="CETBodytext"/>
              <w:ind w:right="-1"/>
              <w:rPr>
                <w:rFonts w:cs="Arial"/>
                <w:szCs w:val="18"/>
                <w:lang w:val="en-GB"/>
              </w:rPr>
            </w:pPr>
            <w:r>
              <w:rPr>
                <w:sz w:val="16"/>
              </w:rPr>
              <w:t>72.2</w:t>
            </w:r>
          </w:p>
        </w:tc>
      </w:tr>
      <w:tr w:rsidR="00B63232" w:rsidRPr="00B57B36" w14:paraId="5FEBD2E5" w14:textId="77777777" w:rsidTr="00B63232">
        <w:tc>
          <w:tcPr>
            <w:tcW w:w="2430" w:type="dxa"/>
            <w:shd w:val="clear" w:color="auto" w:fill="FFFFFF"/>
          </w:tcPr>
          <w:p w14:paraId="72EBC0CD" w14:textId="1FFD89B5" w:rsidR="00B63232" w:rsidRPr="00B57B36" w:rsidRDefault="00B63232" w:rsidP="00B63232">
            <w:pPr>
              <w:pStyle w:val="CETBodytext"/>
              <w:ind w:right="-1"/>
              <w:rPr>
                <w:rFonts w:cs="Arial"/>
                <w:szCs w:val="18"/>
                <w:lang w:val="en-GB"/>
              </w:rPr>
            </w:pPr>
            <w:r>
              <w:rPr>
                <w:sz w:val="16"/>
              </w:rPr>
              <w:t>N160P130K100</w:t>
            </w:r>
          </w:p>
        </w:tc>
        <w:tc>
          <w:tcPr>
            <w:tcW w:w="1260" w:type="dxa"/>
            <w:shd w:val="clear" w:color="auto" w:fill="FFFFFF"/>
          </w:tcPr>
          <w:p w14:paraId="59505F7F" w14:textId="5C98B381" w:rsidR="00B63232" w:rsidRPr="00B57B36" w:rsidRDefault="00B63232" w:rsidP="00B63232">
            <w:pPr>
              <w:pStyle w:val="CETBodytext"/>
              <w:ind w:right="-1"/>
              <w:rPr>
                <w:rFonts w:cs="Arial"/>
                <w:szCs w:val="18"/>
                <w:lang w:val="en-GB"/>
              </w:rPr>
            </w:pPr>
            <w:r>
              <w:rPr>
                <w:sz w:val="16"/>
              </w:rPr>
              <w:t>69.0</w:t>
            </w:r>
          </w:p>
        </w:tc>
        <w:tc>
          <w:tcPr>
            <w:tcW w:w="1530" w:type="dxa"/>
            <w:shd w:val="clear" w:color="auto" w:fill="FFFFFF"/>
          </w:tcPr>
          <w:p w14:paraId="7B6C820B" w14:textId="692B3207" w:rsidR="00B63232" w:rsidRPr="00B57B36" w:rsidRDefault="00B63232" w:rsidP="00B63232">
            <w:pPr>
              <w:pStyle w:val="CETBodytext"/>
              <w:ind w:right="-1"/>
              <w:rPr>
                <w:rFonts w:cs="Arial"/>
                <w:szCs w:val="18"/>
                <w:lang w:val="en-GB"/>
              </w:rPr>
            </w:pPr>
            <w:r>
              <w:rPr>
                <w:sz w:val="16"/>
              </w:rPr>
              <w:t>66.4</w:t>
            </w:r>
          </w:p>
        </w:tc>
        <w:tc>
          <w:tcPr>
            <w:tcW w:w="1440" w:type="dxa"/>
            <w:shd w:val="clear" w:color="auto" w:fill="FFFFFF"/>
          </w:tcPr>
          <w:p w14:paraId="0CC5EA51" w14:textId="392B3266" w:rsidR="00B63232" w:rsidRPr="00B57B36" w:rsidRDefault="00B63232" w:rsidP="00B63232">
            <w:pPr>
              <w:pStyle w:val="CETBodytext"/>
              <w:ind w:right="-1"/>
              <w:rPr>
                <w:rFonts w:cs="Arial"/>
                <w:szCs w:val="18"/>
                <w:lang w:val="en-GB"/>
              </w:rPr>
            </w:pPr>
            <w:r>
              <w:rPr>
                <w:sz w:val="16"/>
              </w:rPr>
              <w:t>64.7</w:t>
            </w:r>
          </w:p>
        </w:tc>
        <w:tc>
          <w:tcPr>
            <w:tcW w:w="1080" w:type="dxa"/>
            <w:shd w:val="clear" w:color="auto" w:fill="FFFFFF"/>
          </w:tcPr>
          <w:p w14:paraId="1FBAE4E4" w14:textId="4939568F" w:rsidR="00B63232" w:rsidRPr="00B57B36" w:rsidRDefault="00B63232" w:rsidP="00B63232">
            <w:pPr>
              <w:pStyle w:val="CETBodytext"/>
              <w:ind w:right="-1"/>
              <w:rPr>
                <w:rFonts w:cs="Arial"/>
                <w:szCs w:val="18"/>
                <w:lang w:val="en-GB"/>
              </w:rPr>
            </w:pPr>
            <w:r>
              <w:rPr>
                <w:sz w:val="16"/>
              </w:rPr>
              <w:t>66.2</w:t>
            </w:r>
          </w:p>
        </w:tc>
      </w:tr>
    </w:tbl>
    <w:p w14:paraId="0453CEE1" w14:textId="77777777" w:rsidR="00B63232" w:rsidRDefault="00B63232" w:rsidP="00B63232">
      <w:pPr>
        <w:pStyle w:val="CETBodytext"/>
      </w:pPr>
    </w:p>
    <w:p w14:paraId="1F96CA21" w14:textId="2BD3D0C9" w:rsidR="00600535" w:rsidRPr="00B57B36" w:rsidRDefault="00600535" w:rsidP="00FA5F5F">
      <w:pPr>
        <w:pStyle w:val="CETheadingx"/>
      </w:pPr>
      <w:r w:rsidRPr="00B57B36">
        <w:lastRenderedPageBreak/>
        <w:t>F</w:t>
      </w:r>
      <w:r w:rsidR="00B63232">
        <w:t>lowering and fruit-set characteristics</w:t>
      </w:r>
    </w:p>
    <w:p w14:paraId="516774E6" w14:textId="77777777" w:rsidR="00B63232" w:rsidRDefault="00B63232" w:rsidP="00B63232">
      <w:pPr>
        <w:pStyle w:val="CETBodytext"/>
      </w:pPr>
      <w:r>
        <w:t>The N140P110K80 kg/ha treatment also produced the most favorable reproductive indicators in all cultivars. For Hindogni, the treatment resulted in 468 flowers, 3.1% dropped buds, 38.6% fruit drop and 58.3% mature clusters. Muscat Hungarian had 326 flowers, 2.9% dropped buds, 53.2% fruit drop and 43.9% mature clusters. Maisky Chyorny had 325 flowers, 3.5% dropped buds, 53.1% fruit drop and 43.4% mature clusters, while Riesling had 341 flowers, 3.2% dropped buds, 39.6% fruit drop and 57.2% mature clusters. Both the lowest and highest fertilizer rates generally produced less favorable reproductive values than N140P110K80 kg/ha.</w:t>
      </w:r>
    </w:p>
    <w:p w14:paraId="7382C781" w14:textId="36FAF24F" w:rsidR="00600535" w:rsidRPr="00B57B36" w:rsidRDefault="00B63232" w:rsidP="00FA5F5F">
      <w:pPr>
        <w:pStyle w:val="CETheadingx"/>
      </w:pPr>
      <w:r>
        <w:t>Cluster morphology and mechanical composition</w:t>
      </w:r>
    </w:p>
    <w:p w14:paraId="19B21FE7" w14:textId="04608A74" w:rsidR="00B63232" w:rsidRDefault="00B63232" w:rsidP="00B63232">
      <w:pPr>
        <w:pStyle w:val="CETBodytext"/>
      </w:pPr>
      <w:r>
        <w:t>The response of cluster weight and dimensions was more pronounced than the response of the mechanical composition. At N140P110K80 kg/ha, average cluster weight reached 456 g in Hindogni, 164 g in Muscat Hungarian, 285 g in Maisky Chyorny and 243 g in Riesling. The corresponding cluster sizes were 21×12, 16×10, 22×15 and 21×11 cm. The proportions of flesh and juice, pulp, skin and seeds changed only slightly among fertilizer treatments, indicating that fertilizer rate had a stronger association with cluster size and weight than with the proportional mechanical fractions.</w:t>
      </w:r>
    </w:p>
    <w:p w14:paraId="06AC3453" w14:textId="44551E07" w:rsidR="00B63232" w:rsidRDefault="00B63232" w:rsidP="00B63232">
      <w:pPr>
        <w:pStyle w:val="CETheadingx"/>
      </w:pPr>
      <w:r>
        <w:t>Yield and grape-juice composition</w:t>
      </w:r>
    </w:p>
    <w:p w14:paraId="6A3F2351" w14:textId="77777777" w:rsidR="00B63232" w:rsidRDefault="00B63232" w:rsidP="00B63232">
      <w:pPr>
        <w:pStyle w:val="CETBodytext"/>
      </w:pPr>
      <w:r>
        <w:t>N140P110K80 kg/ha gave the highest number of clusters per vine in all four cultivars. Hindogni reached 44 clusters per vine, Muscat Hungarian 68, Maisky Chyorny 64 and Riesling 52. The original text reports yields of 20.1 kg/vine for Hindogni, 10.0 kg/vine for Muscat Hungarian, 16.5 kg/vine for Maisky Chyorny and 11.6 kg/vine for Riesling at this treatment. Juice sugar content under N140P110K80 kg/ha was 23.1%, 24.5%, 23.4% and 23.6%, respectively, while acidity was 5.7, 5.4, 5.4 and 5.1 g/L. At N160P130K100 kg/ha, sugar content was generally lower than at the optimum treatment.</w:t>
      </w:r>
    </w:p>
    <w:p w14:paraId="68D26B83" w14:textId="6C9F1D5E" w:rsidR="00600535" w:rsidRPr="00B57B36" w:rsidRDefault="00B63232" w:rsidP="00600535">
      <w:pPr>
        <w:pStyle w:val="CETHeading1"/>
        <w:rPr>
          <w:lang w:val="en-GB"/>
        </w:rPr>
      </w:pPr>
      <w:r>
        <w:rPr>
          <w:lang w:val="en-GB"/>
        </w:rPr>
        <w:t>Discussion</w:t>
      </w:r>
    </w:p>
    <w:p w14:paraId="7F45C286" w14:textId="77777777" w:rsidR="00B63232" w:rsidRDefault="00B63232" w:rsidP="00B63232">
      <w:pPr>
        <w:pStyle w:val="CETBodytext"/>
      </w:pPr>
      <w:r>
        <w:t>The consistent response observed across the four cultivars suggests that the intermediate NPK treatment, N140P110K80 kg/ha, provided a more favorable nutritional balance than either the lower or the highest tested rate under the experimental conditions. This interpretation is consistent with recent field evidence that nitrogen fertilization can increase yield-related traits but that increasing nitrogen beyond an effective range does not necessarily improve productive performance. In a two-year Mediterranean field trial, nitrogen increased vine vigor and yield mainly through cluster weight, while doubling the nitrogen rate did not generally increase the productive parameters (Palliotti et al., 2021).</w:t>
      </w:r>
    </w:p>
    <w:p w14:paraId="3244934E" w14:textId="77777777" w:rsidR="00B63232" w:rsidRDefault="00B63232" w:rsidP="00B63232">
      <w:pPr>
        <w:pStyle w:val="CETBodytext"/>
      </w:pPr>
      <w:r>
        <w:t>The present results also show that fertilizer response was not identical in magnitude among cultivars. This is important because recent work on grapevine nutrition has emphasized cultivar-dependent nutrient requirements and critical nitrogen levels. For Chardonnay and Pinot Noir, for example, nitrogen critical levels and the dose associated with maximum technical efficiency differed between cultivars, while sugar and acidity could respond in opposite directions (Brunetto et al., 2022). Thus, the identification of N140P110K80 kg/ha in the present experiment should be interpreted as a recommendation for the tested production conditions and cultivars rather than as a universal fertilizer prescription.</w:t>
      </w:r>
    </w:p>
    <w:p w14:paraId="0BD3DE4C" w14:textId="77777777" w:rsidR="00B63232" w:rsidRDefault="00B63232" w:rsidP="00B63232">
      <w:pPr>
        <w:pStyle w:val="CETBodytext"/>
      </w:pPr>
      <w:r>
        <w:t>The observed decrease in several indicators at N160P130K100 kg/ha is also compatible with the broader concept of diminishing returns in vineyard fertilization. Nitrogen can affect vegetative growth and grape composition, but its effect depends on cultivar, environmental conditions and the nutritional status of the vineyard. Recent studies have shown that nitrogen supply can modify berry composition, yield and nitrogen-related metabolites, while the direction and magnitude of the response depend on the fertilization regime and developmental stage (Keller et al., 2022; Wang et al., 2024).</w:t>
      </w:r>
    </w:p>
    <w:p w14:paraId="5A03BD9C" w14:textId="77777777" w:rsidR="00B63232" w:rsidRDefault="00B63232" w:rsidP="00B63232">
      <w:pPr>
        <w:pStyle w:val="CETBodytext"/>
      </w:pPr>
      <w:r>
        <w:t>The sugar and acidity results should therefore be interpreted together with yield. In the present dataset, the treatment that maximized cluster number and several reproductive indicators did not produce the highest sugar concentration for every cultivar. This confirms that a fertilizer strategy should balance productivity with compositional quality rather than maximize a single variable. Recent vineyard-management research similarly emphasizes the need to consider yield, nutrient status and must quality together (Raffa et al., 2022; Sala et al., 2024).</w:t>
      </w:r>
    </w:p>
    <w:p w14:paraId="5C8DE5C2" w14:textId="35043274" w:rsidR="00B63232" w:rsidRDefault="00B63232" w:rsidP="00B63232">
      <w:pPr>
        <w:pStyle w:val="CETBodytext"/>
      </w:pPr>
      <w:r>
        <w:t>The engineering and practical relevance of the work lies in defining a fertilizer-rate window that can be incorporated into vineyard management decisions. Although the experiment is agricultural rather than process-engineering in the narrow sense, the resulting fertilizer-rate information is relevant to the upstream production of wine grapes and, consequently, to the consistency of raw material entering winery operations. Current Chemical Engineering Transactions work on nitrogen addition during wine fermentation likewise demonstrates the importance of nitrogen management for downstream wine-process performance (Beaudeau et al., 2023).</w:t>
      </w:r>
    </w:p>
    <w:p w14:paraId="7D106BBF" w14:textId="152BEC97" w:rsidR="00B63232" w:rsidRDefault="00B63232" w:rsidP="00B63232">
      <w:pPr>
        <w:pStyle w:val="CETHeading1"/>
      </w:pPr>
      <w:r>
        <w:lastRenderedPageBreak/>
        <w:t>Conclusions</w:t>
      </w:r>
    </w:p>
    <w:p w14:paraId="5A6FBA2E" w14:textId="77777777" w:rsidR="00B63232" w:rsidRDefault="00B63232" w:rsidP="00B63232">
      <w:pPr>
        <w:pStyle w:val="CETBodytext"/>
      </w:pPr>
      <w:r>
        <w:t>The three-year field dataset showed that fertilizer rate affected reproductive development, cluster characteristics, yield components and grape-juice composition of the four wine-grape cultivars studied. N140P110K80 kg/ha was the most favorable treatment across the evaluated indicators. At this rate, total fruit-bearing shoots reached 74.9% in Hindogni, 76.1% in Muscat Hungarian, 72.5% in Maisky Chyorny and 72.2% in Riesling. The same treatment produced 44, 68, 64 and 52 clusters per vine, respectively. Increasing the fertilizer rate to N160P130K100 kg/ha did not provide additional benefits and was associated with lower values for several reproductive and compositional indicators. Therefore, under the conditions of the present experiment, N140P110K80 kg/ha represents the most balanced of the tested NPK rates. The result should be treated as a cultivar- and site-specific field finding and should be validated under additional soil, climatic and seasonal conditions before wider agronomic recommendation.</w:t>
      </w:r>
    </w:p>
    <w:p w14:paraId="4F1327F8" w14:textId="77777777" w:rsidR="00600535" w:rsidRPr="00B57B36" w:rsidRDefault="00600535" w:rsidP="00600535">
      <w:pPr>
        <w:pStyle w:val="CETReference"/>
      </w:pPr>
      <w:r w:rsidRPr="00B57B36">
        <w:t>References</w:t>
      </w:r>
    </w:p>
    <w:p w14:paraId="685FDEBC" w14:textId="77777777" w:rsidR="00B63232" w:rsidRDefault="00B63232" w:rsidP="00B63232">
      <w:pPr>
        <w:pStyle w:val="CETReferencetext"/>
      </w:pPr>
      <w:r>
        <w:t>Beaudeau F., Aceves-Lara C.A., Bideaux C., 2023, Dynamic Modelling of the Effects of Assimilable Nitrogen Addition on Aroma Synthesis During Wine Fermentation, Chemical Engineering Transactions, 102, 301–306.</w:t>
      </w:r>
    </w:p>
    <w:p w14:paraId="40F0BC8C" w14:textId="77777777" w:rsidR="00B63232" w:rsidRDefault="00B63232" w:rsidP="00B63232">
      <w:pPr>
        <w:pStyle w:val="CETReferencetext"/>
      </w:pPr>
      <w:r>
        <w:t>Brunetto G., et al., 2022, Nitrogen Critical Level in Leaves in ‘Chardonnay’ and ‘Pinot Noir’ Grapevines to Adequate Yield and Quality Must, Agronomy, 12, 1132.</w:t>
      </w:r>
    </w:p>
    <w:p w14:paraId="6E7E1010" w14:textId="77777777" w:rsidR="00B63232" w:rsidRDefault="00B63232" w:rsidP="00B63232">
      <w:pPr>
        <w:pStyle w:val="CETReferencetext"/>
      </w:pPr>
      <w:r>
        <w:t>Dospekhov B.D., 1986, Field Experiment Methodology, Kolos, Moscow, Russia.</w:t>
      </w:r>
    </w:p>
    <w:p w14:paraId="753B2168" w14:textId="77777777" w:rsidR="00B63232" w:rsidRDefault="00B63232" w:rsidP="00B63232">
      <w:pPr>
        <w:pStyle w:val="CETReferencetext"/>
      </w:pPr>
      <w:r>
        <w:t>Gutiérrez-Gamboa G., Alañón-Sánchez N., Mateluna-Cuadra R., Verdugo-Vásquez N., 2021, An overview about the impacts of agricultural practices on grape nitrogen composition: Current research approaches, Food Research International.</w:t>
      </w:r>
    </w:p>
    <w:p w14:paraId="787D8CB0" w14:textId="77777777" w:rsidR="00B63232" w:rsidRDefault="00B63232" w:rsidP="00B63232">
      <w:pPr>
        <w:pStyle w:val="CETReferencetext"/>
      </w:pPr>
      <w:r>
        <w:t>Malikov A.N., Abdullayeva B.A.S., Parmonova A.D., 2021, Effects of Fertilization Quantities on the Development of Wine Varieties of Grapes, International Journal on Economics, Finance and Sustainable Development, 3(7), 41–43, doi:10.31149/ijefsd.v3i7.2074.</w:t>
      </w:r>
    </w:p>
    <w:p w14:paraId="038B2A29" w14:textId="77777777" w:rsidR="00B63232" w:rsidRDefault="00B63232" w:rsidP="00B63232">
      <w:pPr>
        <w:pStyle w:val="CETReferencetext"/>
      </w:pPr>
      <w:r>
        <w:t>Palliotti A., Tombesi S., Frioni T., et al., 2021, Multiple Effects of Nitrogen Fertilization on Grape Vegetative Growth, Berry Quality and Pest Development in Mediterranean Vineyards, Horticulturae, 7, 530.</w:t>
      </w:r>
    </w:p>
    <w:p w14:paraId="0CDD21DE" w14:textId="77777777" w:rsidR="00B63232" w:rsidRDefault="00B63232" w:rsidP="00B63232">
      <w:pPr>
        <w:pStyle w:val="CETReferencetext"/>
      </w:pPr>
      <w:r>
        <w:t>Raffa D.W., Antichi D., Carlesi S., Puig-Sirera À., Rallo G., Bàrberi P., 2022, Ground vegetation covers increase grape yield and must quality in Mediterranean organic vineyards despite variable effects on vine water deficit and nitrogen status, European Journal of Agronomy, 136, 126483.</w:t>
      </w:r>
    </w:p>
    <w:p w14:paraId="1A68F341" w14:textId="77777777" w:rsidR="00B63232" w:rsidRDefault="00B63232" w:rsidP="00B63232">
      <w:pPr>
        <w:pStyle w:val="CETReferencetext"/>
      </w:pPr>
      <w:r>
        <w:t>Sala F., Camen D., Herbei M.V., Blidariu C., 2024, Analysis of Vine Nutrition and Productivity Based on Statistical Indicators, Horticulturae, 10, 397.</w:t>
      </w:r>
    </w:p>
    <w:p w14:paraId="4748C188" w14:textId="77777777" w:rsidR="00B63232" w:rsidRDefault="00B63232" w:rsidP="00B63232">
      <w:pPr>
        <w:pStyle w:val="CETReferencetext"/>
      </w:pPr>
      <w:r>
        <w:t>Wang et al., 2024, Foliar Co-Applications of Nitrogen and Iron on Vines at Different Developmental Stages Impacts Wine Grape (Vitis vinifera L.) Composition, Plants, 13, 2203.</w:t>
      </w:r>
    </w:p>
    <w:p w14:paraId="19C4FC68" w14:textId="43AC25D3" w:rsidR="004628D2" w:rsidRPr="00B63232" w:rsidRDefault="00B63232" w:rsidP="00B63232">
      <w:pPr>
        <w:pStyle w:val="CETReferencetext"/>
      </w:pPr>
      <w:r>
        <w:t>Vitaggio C., Pollon M., Schnitter M., Guarrasi V., Picariello L., Planeta D., Gambuti A., Cinquanta L., Corona O., 2026, Sustainability of the Alcoholic Fermentation in Catarratto and Inzolia Grapes (V. vinifera L.), Chemical Engineering Transactions, 124, 271–276.</w:t>
      </w:r>
    </w:p>
    <w:sectPr w:rsidR="004628D2" w:rsidRPr="00B63232"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856D8" w14:textId="77777777" w:rsidR="00C428FE" w:rsidRDefault="00C428FE" w:rsidP="004F5E36">
      <w:r>
        <w:separator/>
      </w:r>
    </w:p>
  </w:endnote>
  <w:endnote w:type="continuationSeparator" w:id="0">
    <w:p w14:paraId="0E51824B" w14:textId="77777777" w:rsidR="00C428FE" w:rsidRDefault="00C428FE"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24C7" w14:textId="77777777" w:rsidR="00C428FE" w:rsidRDefault="00C428FE" w:rsidP="004F5E36">
      <w:r>
        <w:separator/>
      </w:r>
    </w:p>
  </w:footnote>
  <w:footnote w:type="continuationSeparator" w:id="0">
    <w:p w14:paraId="72C6F7BB" w14:textId="77777777" w:rsidR="00C428FE" w:rsidRDefault="00C428FE"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9F5C22C4"/>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07E05"/>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801AA"/>
    <w:rsid w:val="00892AD5"/>
    <w:rsid w:val="008A1512"/>
    <w:rsid w:val="008B38B9"/>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848D4"/>
    <w:rsid w:val="00993B84"/>
    <w:rsid w:val="00996483"/>
    <w:rsid w:val="00996F5A"/>
    <w:rsid w:val="009B041A"/>
    <w:rsid w:val="009C37C3"/>
    <w:rsid w:val="009C7C86"/>
    <w:rsid w:val="009D2FF7"/>
    <w:rsid w:val="009E7884"/>
    <w:rsid w:val="009E788A"/>
    <w:rsid w:val="009F0E08"/>
    <w:rsid w:val="00A079AE"/>
    <w:rsid w:val="00A12951"/>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63232"/>
    <w:rsid w:val="00B8686D"/>
    <w:rsid w:val="00B93F69"/>
    <w:rsid w:val="00BB1DDC"/>
    <w:rsid w:val="00BC30C9"/>
    <w:rsid w:val="00BD077D"/>
    <w:rsid w:val="00BE3E58"/>
    <w:rsid w:val="00C01616"/>
    <w:rsid w:val="00C0162B"/>
    <w:rsid w:val="00C068ED"/>
    <w:rsid w:val="00C208E9"/>
    <w:rsid w:val="00C22E0C"/>
    <w:rsid w:val="00C345B1"/>
    <w:rsid w:val="00C40142"/>
    <w:rsid w:val="00C428FE"/>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5072"/>
    <w:rsid w:val="00E02D18"/>
    <w:rsid w:val="00E041E7"/>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007E05"/>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007E05"/>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24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6B5CC-573D-491F-8725-5F6881264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2388</Words>
  <Characters>13613</Characters>
  <Application>Microsoft Office Word</Application>
  <DocSecurity>0</DocSecurity>
  <Lines>113</Lines>
  <Paragraphs>31</Paragraphs>
  <ScaleCrop>false</ScaleCrop>
  <HeadingPairs>
    <vt:vector size="6" baseType="variant">
      <vt:variant>
        <vt:lpstr>Title</vt:lpstr>
      </vt:variant>
      <vt:variant>
        <vt:i4>1</vt:i4>
      </vt:variant>
      <vt:variant>
        <vt:lpstr>Название</vt:lpstr>
      </vt:variant>
      <vt:variant>
        <vt:i4>1</vt:i4>
      </vt:variant>
      <vt:variant>
        <vt:lpstr>Titolo</vt:lpstr>
      </vt:variant>
      <vt:variant>
        <vt:i4>1</vt:i4>
      </vt:variant>
    </vt:vector>
  </HeadingPairs>
  <TitlesOfParts>
    <vt:vector size="3" baseType="lpstr">
      <vt:lpstr/>
      <vt:lpstr/>
      <vt:lpstr/>
    </vt:vector>
  </TitlesOfParts>
  <Company>Dipartimento CMIC - Politecnico di Milano</Company>
  <LinksUpToDate>false</LinksUpToDate>
  <CharactersWithSpaces>15970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DELL</cp:lastModifiedBy>
  <cp:revision>2</cp:revision>
  <cp:lastPrinted>2015-05-12T18:31:00Z</cp:lastPrinted>
  <dcterms:created xsi:type="dcterms:W3CDTF">2026-09-04T15:03:00Z</dcterms:created>
  <dcterms:modified xsi:type="dcterms:W3CDTF">2026-09-04T15:03:00Z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